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distribute"/>
        <w:rPr>
          <w:rFonts w:hint="eastAsia" w:ascii="標楷體" w:eastAsia="標楷體"/>
          <w:b/>
          <w:sz w:val="44"/>
          <w:szCs w:val="44"/>
        </w:rPr>
      </w:pPr>
      <w:r>
        <w:rPr>
          <w:rFonts w:hint="eastAsia" w:ascii="標楷體" w:eastAsia="標楷體"/>
          <w:b/>
          <w:sz w:val="44"/>
          <w:szCs w:val="44"/>
        </w:rPr>
        <w:t>會員暨子女教育獎學金實施辦法</w:t>
      </w:r>
    </w:p>
    <w:p>
      <w:pPr>
        <w:spacing w:line="300" w:lineRule="exact"/>
        <w:jc w:val="right"/>
        <w:rPr>
          <w:rFonts w:hint="eastAsia" w:ascii="標楷體" w:eastAsia="標楷體"/>
          <w:sz w:val="36"/>
          <w:szCs w:val="36"/>
        </w:rPr>
      </w:pPr>
      <w:r>
        <w:rPr>
          <w:rFonts w:hint="eastAsia" w:ascii="標楷體" w:eastAsia="標楷體"/>
          <w:sz w:val="16"/>
          <w:szCs w:val="16"/>
        </w:rPr>
        <w:t>991225第二屆第三屆會員大會通過</w:t>
      </w:r>
    </w:p>
    <w:p>
      <w:pPr>
        <w:pStyle w:val="3"/>
        <w:numPr>
          <w:ilvl w:val="0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為鼓勵本會會員暨子女努力向學，爭取榮譽，培育人才，特設置獎學金。</w:t>
      </w:r>
    </w:p>
    <w:p>
      <w:pPr>
        <w:pStyle w:val="3"/>
        <w:numPr>
          <w:ilvl w:val="0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凡本會會員暨子女就讀國內公私立大專院校、高(職)中、國中，正規學制 (不含空大、補校暨公費生，大專組最後一學期未繼續升學者)，學業暨操行成績符合本辦法之規定者，均可申請。</w:t>
      </w:r>
    </w:p>
    <w:p>
      <w:pPr>
        <w:pStyle w:val="3"/>
        <w:numPr>
          <w:ilvl w:val="0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申請人應備條件：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hAnsi="Times New Roman" w:eastAsia="標楷體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標楷體" w:eastAsia="標楷體"/>
          <w:sz w:val="28"/>
          <w:szCs w:val="28"/>
        </w:rPr>
        <w:t>申請人參加本會互助金須滿壹年以上。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hAnsi="Times New Roman" w:eastAsia="標楷體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標楷體" w:hAnsi="Times New Roman" w:eastAsia="標楷體" w:cs="Times New Roman"/>
          <w:kern w:val="2"/>
          <w:sz w:val="28"/>
          <w:szCs w:val="28"/>
          <w:lang w:val="zh-CN" w:eastAsia="zh-CN" w:bidi="ar-SA"/>
        </w:rPr>
        <w:t>申請人或其子女學業成績應達標準：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0" w:right="0" w:rightChars="0" w:firstLine="480" w:firstLineChars="200"/>
        <w:jc w:val="left"/>
        <w:textAlignment w:val="auto"/>
        <w:outlineLvl w:val="9"/>
        <w:rPr>
          <w:rFonts w:hint="eastAsia" w:ascii="標楷體" w:hAnsi="Times New Roman" w:eastAsia="標楷體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標楷體" w:hAnsi="Times New Roman" w:eastAsia="標楷體" w:cs="Times New Roman"/>
          <w:kern w:val="2"/>
          <w:sz w:val="24"/>
          <w:szCs w:val="24"/>
          <w:lang w:val="zh-CN" w:eastAsia="zh-CN" w:bidi="ar-SA"/>
        </w:rPr>
        <w:t>國中成績平均八十五分以上，操行、體育乙等。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0" w:right="0" w:rightChars="0" w:firstLine="480" w:firstLineChars="200"/>
        <w:jc w:val="left"/>
        <w:textAlignment w:val="auto"/>
        <w:outlineLvl w:val="9"/>
        <w:rPr>
          <w:rFonts w:hint="eastAsia" w:ascii="標楷體" w:hAnsi="Times New Roman" w:eastAsia="標楷體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標楷體" w:hAnsi="Times New Roman" w:eastAsia="標楷體" w:cs="Times New Roman"/>
          <w:kern w:val="2"/>
          <w:sz w:val="24"/>
          <w:szCs w:val="24"/>
          <w:lang w:val="zh-CN" w:eastAsia="zh-CN" w:bidi="ar-SA"/>
        </w:rPr>
        <w:t>公立高(職</w:t>
      </w:r>
      <w:bookmarkStart w:id="0" w:name="_GoBack"/>
      <w:bookmarkEnd w:id="0"/>
      <w:r>
        <w:rPr>
          <w:rFonts w:hint="eastAsia" w:ascii="標楷體" w:hAnsi="Times New Roman" w:eastAsia="標楷體" w:cs="Times New Roman"/>
          <w:kern w:val="2"/>
          <w:sz w:val="24"/>
          <w:szCs w:val="24"/>
          <w:lang w:val="zh-CN" w:eastAsia="zh-CN" w:bidi="ar-SA"/>
        </w:rPr>
        <w:t>)中、大專院校成績平均八十分以上，操行、體育乙等。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0" w:right="0" w:rightChars="0" w:firstLine="480" w:firstLineChars="200"/>
        <w:jc w:val="left"/>
        <w:textAlignment w:val="auto"/>
        <w:outlineLvl w:val="9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Times New Roman" w:eastAsia="標楷體" w:cs="Times New Roman"/>
          <w:kern w:val="2"/>
          <w:sz w:val="24"/>
          <w:szCs w:val="24"/>
          <w:lang w:val="zh-CN" w:eastAsia="zh-CN" w:bidi="ar-SA"/>
        </w:rPr>
        <w:t>私立高(職)中、大專院校成績平均八十五分以上，操行、體育乙等。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0" w:right="0" w:rightChars="0" w:firstLine="480" w:firstLineChars="200"/>
        <w:jc w:val="left"/>
        <w:textAlignment w:val="auto"/>
        <w:outlineLvl w:val="9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殘障者不含體育成績。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五年制專校一至三年級視同高(職)中，四、五年級視同大專。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各級學校夜間部學生，學業成績得分別比照本條各款規定之計分標準。</w:t>
      </w:r>
    </w:p>
    <w:p>
      <w:pPr>
        <w:pStyle w:val="3"/>
        <w:numPr>
          <w:ilvl w:val="0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申請手續：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填具申請表一份。(本會備索)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繳驗本學期在學證明書(或學生證影本)暨上(下)學期成績證明書正本一份。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檢附學生身分證影本。</w:t>
      </w:r>
    </w:p>
    <w:p>
      <w:pPr>
        <w:pStyle w:val="3"/>
        <w:numPr>
          <w:ilvl w:val="0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申請時限：每年三月一日至十五日及十月一日至十五日，逾期不予受理。</w:t>
      </w:r>
    </w:p>
    <w:p>
      <w:pPr>
        <w:pStyle w:val="3"/>
        <w:numPr>
          <w:ilvl w:val="0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名額及金額暫定(以後視本會經費狀況，再予調整名額及金額)：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國中組二十名，每名5</w:t>
      </w:r>
      <w:r>
        <w:rPr>
          <w:rFonts w:ascii="標楷體" w:eastAsia="標楷體"/>
          <w:sz w:val="28"/>
          <w:szCs w:val="28"/>
        </w:rPr>
        <w:t>00</w:t>
      </w:r>
      <w:r>
        <w:rPr>
          <w:rFonts w:hint="eastAsia" w:ascii="標楷體" w:eastAsia="標楷體"/>
          <w:sz w:val="28"/>
          <w:szCs w:val="28"/>
        </w:rPr>
        <w:t>元。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高(職)中組二十名，每名1</w:t>
      </w:r>
      <w:r>
        <w:rPr>
          <w:rFonts w:ascii="標楷體" w:eastAsia="標楷體"/>
          <w:sz w:val="28"/>
          <w:szCs w:val="28"/>
        </w:rPr>
        <w:t>,</w:t>
      </w:r>
      <w:r>
        <w:rPr>
          <w:rFonts w:hint="eastAsia" w:ascii="標楷體" w:eastAsia="標楷體"/>
          <w:sz w:val="28"/>
          <w:szCs w:val="28"/>
        </w:rPr>
        <w:t>0</w:t>
      </w:r>
      <w:r>
        <w:rPr>
          <w:rFonts w:ascii="標楷體" w:eastAsia="標楷體"/>
          <w:sz w:val="28"/>
          <w:szCs w:val="28"/>
        </w:rPr>
        <w:t>00</w:t>
      </w:r>
      <w:r>
        <w:rPr>
          <w:rFonts w:hint="eastAsia" w:ascii="標楷體" w:eastAsia="標楷體"/>
          <w:sz w:val="28"/>
          <w:szCs w:val="28"/>
        </w:rPr>
        <w:t>元。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大專組二十名，每名1</w:t>
      </w:r>
      <w:r>
        <w:rPr>
          <w:rFonts w:ascii="標楷體" w:eastAsia="標楷體"/>
          <w:sz w:val="28"/>
          <w:szCs w:val="28"/>
        </w:rPr>
        <w:t>,500</w:t>
      </w:r>
      <w:r>
        <w:rPr>
          <w:rFonts w:hint="eastAsia" w:ascii="標楷體" w:eastAsia="標楷體"/>
          <w:sz w:val="28"/>
          <w:szCs w:val="28"/>
        </w:rPr>
        <w:t>元。</w:t>
      </w:r>
    </w:p>
    <w:p>
      <w:pPr>
        <w:pStyle w:val="3"/>
        <w:numPr>
          <w:ilvl w:val="0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審核及發放：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由本會推選理監事五人組織審查委員會依照本辦法之規定辦理。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各級學校學生其單項課業成績有不滿六十分之情形者，不予錄選。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每學期申請獎學金各組人數不達本辦法規定名額時，</w:t>
      </w:r>
      <w:r>
        <w:rPr>
          <w:rFonts w:ascii="標楷體" w:eastAsia="標楷體"/>
          <w:sz w:val="28"/>
          <w:szCs w:val="28"/>
        </w:rPr>
        <w:t xml:space="preserve"> </w:t>
      </w:r>
      <w:r>
        <w:rPr>
          <w:rFonts w:hint="eastAsia" w:ascii="標楷體" w:eastAsia="標楷體"/>
          <w:sz w:val="28"/>
          <w:szCs w:val="28"/>
        </w:rPr>
        <w:t>其額從缺，不順位增補。</w:t>
      </w:r>
    </w:p>
    <w:p>
      <w:pPr>
        <w:pStyle w:val="3"/>
        <w:numPr>
          <w:ilvl w:val="1"/>
          <w:numId w:val="1"/>
        </w:numPr>
        <w:spacing w:line="360" w:lineRule="exact"/>
        <w:rPr>
          <w:rFonts w:hint="eastAsia"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每學期申請獎學金各組合格人數，超過本辦法規定名額時，末名成績相同者，以抽籤決定之，未中籤者，酌贈獎品以資慰勉。</w:t>
      </w:r>
    </w:p>
    <w:p>
      <w:pPr>
        <w:pStyle w:val="3"/>
        <w:numPr>
          <w:ilvl w:val="0"/>
          <w:numId w:val="1"/>
        </w:num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本辦法有未盡事宜，得經理事會議通過修正，並呈報主管官暑核備後施行。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Shu-SB-Estd-BF">
    <w:altName w:val="新細明體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何某手寫-Bold">
    <w:panose1 w:val="020B0500000000000000"/>
    <w:charset w:val="86"/>
    <w:family w:val="auto"/>
    <w:pitch w:val="default"/>
    <w:sig w:usb0="80000283" w:usb1="4A0760F8" w:usb2="00000012" w:usb3="00000000" w:csb0="00160001" w:csb1="C0000000"/>
  </w:font>
  <w:font w:name="何某手寫-ExtraLight">
    <w:panose1 w:val="020B0500000000000000"/>
    <w:charset w:val="86"/>
    <w:family w:val="auto"/>
    <w:pitch w:val="default"/>
    <w:sig w:usb0="80000283" w:usb1="4A0760F8" w:usb2="00000012" w:usb3="00000000" w:csb0="00160001" w:csb1="C0000000"/>
  </w:font>
  <w:font w:name="何某手寫-Light">
    <w:panose1 w:val="020B0500000000000000"/>
    <w:charset w:val="86"/>
    <w:family w:val="auto"/>
    <w:pitch w:val="default"/>
    <w:sig w:usb0="80000283" w:usb1="4A0760F8" w:usb2="00000012" w:usb3="00000000" w:csb0="00160001" w:csb1="C0000000"/>
  </w:font>
  <w:font w:name="何某手寫-Regular">
    <w:panose1 w:val="020B0500000000000000"/>
    <w:charset w:val="86"/>
    <w:family w:val="auto"/>
    <w:pitch w:val="default"/>
    <w:sig w:usb0="80000283" w:usb1="4A0760F8" w:usb2="00000012" w:usb3="00000000" w:csb0="00160001" w:csb1="C0000000"/>
  </w:font>
  <w:font w:name="何某手寫-SemiBold">
    <w:panose1 w:val="020B0500000000000000"/>
    <w:charset w:val="86"/>
    <w:family w:val="auto"/>
    <w:pitch w:val="default"/>
    <w:sig w:usb0="80000283" w:usb1="4A0760F8" w:usb2="00000012" w:usb3="00000000" w:csb0="00160001" w:csb1="C0000000"/>
  </w:font>
  <w:font w:name="俐方體11號">
    <w:panose1 w:val="00000000000000000000"/>
    <w:charset w:val="86"/>
    <w:family w:val="auto"/>
    <w:pitch w:val="default"/>
    <w:sig w:usb0="80000283" w:usb1="1A0F0801" w:usb2="00000012" w:usb3="00000000" w:csb0="00160001" w:csb1="00000000"/>
  </w:font>
  <w:font w:name="内海フォントJP--Bold">
    <w:panose1 w:val="02000600000000000000"/>
    <w:charset w:val="86"/>
    <w:family w:val="auto"/>
    <w:pitch w:val="default"/>
    <w:sig w:usb0="FFFFAEFF" w:usb1="E9FFFFFF" w:usb2="0000003F" w:usb3="00000000" w:csb0="603F00FF" w:csb1="FFFF0000"/>
  </w:font>
  <w:font w:name="内海フォントJP--ExtraLight">
    <w:panose1 w:val="02000600000000000000"/>
    <w:charset w:val="86"/>
    <w:family w:val="auto"/>
    <w:pitch w:val="default"/>
    <w:sig w:usb0="FFFFAEFF" w:usb1="E9FFFFFF" w:usb2="0000003F" w:usb3="00000000" w:csb0="603F00FF" w:csb1="FFFF0000"/>
  </w:font>
  <w:font w:name="内海フォントJP--Light">
    <w:panose1 w:val="02000600000000000000"/>
    <w:charset w:val="86"/>
    <w:family w:val="auto"/>
    <w:pitch w:val="default"/>
    <w:sig w:usb0="FFFFAEFF" w:usb1="E9FFFFFF" w:usb2="0000003F" w:usb3="00000000" w:csb0="603F00FF" w:csb1="FFFF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B62"/>
    <w:multiLevelType w:val="multilevel"/>
    <w:tmpl w:val="1CF05B62"/>
    <w:lvl w:ilvl="0" w:tentative="0">
      <w:start w:val="1"/>
      <w:numFmt w:val="taiwaneseCountingThousand"/>
      <w:lvlText w:val="第%1條：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1" w:tentative="0">
      <w:start w:val="1"/>
      <w:numFmt w:val="taiwaneseCountingThousand"/>
      <w:lvlText w:val="%2、"/>
      <w:lvlJc w:val="left"/>
      <w:pPr>
        <w:tabs>
          <w:tab w:val="left" w:pos="1134"/>
        </w:tabs>
        <w:ind w:left="1134" w:hanging="567"/>
      </w:pPr>
      <w:rPr>
        <w:rFonts w:hint="eastAsia"/>
      </w:rPr>
    </w:lvl>
    <w:lvl w:ilvl="2" w:tentative="0">
      <w:start w:val="1"/>
      <w:numFmt w:val="decimal"/>
      <w:lvlText w:val="%3."/>
      <w:lvlJc w:val="right"/>
      <w:pPr>
        <w:tabs>
          <w:tab w:val="left" w:pos="1134"/>
        </w:tabs>
        <w:ind w:left="1134" w:hanging="176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E39060"/>
    <w:multiLevelType w:val="singleLevel"/>
    <w:tmpl w:val="65E390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5551C"/>
    <w:rsid w:val="00430B59"/>
    <w:rsid w:val="004D6884"/>
    <w:rsid w:val="008B7B9E"/>
    <w:rsid w:val="1F2B7B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annotation text"/>
    <w:basedOn w:val="1"/>
    <w:link w:val="9"/>
    <w:semiHidden/>
    <w:uiPriority w:val="0"/>
    <w:rPr>
      <w:szCs w:val="20"/>
      <w:lang w:val="zh-CN" w:eastAsia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basedOn w:val="5"/>
    <w:link w:val="2"/>
    <w:uiPriority w:val="99"/>
    <w:rPr>
      <w:sz w:val="20"/>
      <w:szCs w:val="20"/>
    </w:rPr>
  </w:style>
  <w:style w:type="character" w:customStyle="1" w:styleId="8">
    <w:name w:val="頁尾 字元"/>
    <w:basedOn w:val="5"/>
    <w:link w:val="4"/>
    <w:uiPriority w:val="99"/>
    <w:rPr>
      <w:sz w:val="20"/>
      <w:szCs w:val="20"/>
    </w:rPr>
  </w:style>
  <w:style w:type="character" w:customStyle="1" w:styleId="9">
    <w:name w:val="註解文字 字元"/>
    <w:basedOn w:val="5"/>
    <w:link w:val="3"/>
    <w:semiHidden/>
    <w:uiPriority w:val="0"/>
    <w:rPr>
      <w:rFonts w:ascii="Times New Roman" w:hAnsi="Times New Roman" w:eastAsia="新細明體" w:cs="Times New Roman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2024-02-17T05:21:00Z</dcterms:created>
  <dc:creator>黃 義傑</dc:creator>
  <cp:lastModifiedBy>USER</cp:lastModifiedBy>
  <dcterms:modified xsi:type="dcterms:W3CDTF">2024-03-02T20:49:02Z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